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D224A4" w:rsidRPr="00CA4ECF" w:rsidRDefault="00D224A4" w:rsidP="00D224A4">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xml:space="preserve">, pessoa jurídica de direito público interno, com sede à AV. Presidente Bernardes, 809, CEP 86.600-067, inscrito no CNPJ/MF nº 76.288.760/0001-08, neste ato devidamente representado pelo Prefeito Municipal, em pleno exercício de seu mandato e funções, Senhor </w:t>
      </w:r>
      <w:r w:rsidRPr="00536F5E">
        <w:rPr>
          <w:rFonts w:ascii="Book Antiqua" w:hAnsi="Book Antiqua" w:cs="Arial"/>
          <w:b w:val="0"/>
          <w:szCs w:val="22"/>
          <w:highlight w:val="green"/>
        </w:rPr>
        <w:t>AILTON APARECIDO MAISTRO</w:t>
      </w:r>
      <w:r w:rsidRPr="008975F8">
        <w:rPr>
          <w:rFonts w:ascii="Book Antiqua" w:hAnsi="Book Antiqua" w:cs="Arial"/>
          <w:b w:val="0"/>
          <w:szCs w:val="22"/>
          <w:highlight w:val="green"/>
        </w:rPr>
        <w:t xml:space="preserve">, residente e domiciliado nesta 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xml:space="preserve">, pessoa jurídica de direito privado, com sede à ______________, nº __________, na cidade de __________ - __, cadastrada no CNPJ ______________, representada pelo Senhor </w:t>
      </w:r>
      <w:r>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224A4">
        <w:rPr>
          <w:rFonts w:ascii="Book Antiqua" w:hAnsi="Book Antiqua" w:cs="Arial"/>
          <w:sz w:val="22"/>
          <w:szCs w:val="22"/>
        </w:rPr>
        <w:t xml:space="preserve">O presente instrumento tem por objeto o registro de preços para a eventual </w:t>
      </w:r>
      <w:r w:rsidR="00E664E6" w:rsidRPr="00D224A4">
        <w:rPr>
          <w:rFonts w:ascii="Book Antiqua" w:hAnsi="Book Antiqua" w:cs="Arial"/>
          <w:sz w:val="22"/>
          <w:szCs w:val="22"/>
        </w:rPr>
        <w:t>prestação dos serviços/</w:t>
      </w:r>
      <w:r w:rsidRPr="00D224A4">
        <w:rPr>
          <w:rFonts w:ascii="Book Antiqua" w:hAnsi="Book Antiqua" w:cs="Arial"/>
          <w:sz w:val="22"/>
          <w:szCs w:val="22"/>
        </w:rPr>
        <w:t>aquisição de</w:t>
      </w:r>
      <w:r w:rsidR="00D224A4" w:rsidRPr="00D224A4">
        <w:rPr>
          <w:rFonts w:ascii="Book Antiqua" w:hAnsi="Book Antiqua" w:cs="Arial"/>
          <w:sz w:val="22"/>
          <w:szCs w:val="22"/>
        </w:rPr>
        <w:t xml:space="preserve"> licença para</w:t>
      </w:r>
      <w:r w:rsidRPr="00D224A4">
        <w:rPr>
          <w:rFonts w:ascii="Book Antiqua" w:hAnsi="Book Antiqua" w:cs="Arial"/>
          <w:sz w:val="22"/>
          <w:szCs w:val="22"/>
        </w:rPr>
        <w:t xml:space="preserve"> </w:t>
      </w:r>
      <w:r w:rsidR="00D224A4" w:rsidRPr="00D224A4">
        <w:rPr>
          <w:rFonts w:ascii="Book Antiqua" w:hAnsi="Book Antiqua" w:cs="Arial"/>
          <w:sz w:val="22"/>
          <w:szCs w:val="22"/>
        </w:rPr>
        <w:t>Sistema de Rastreamento Veicular</w:t>
      </w:r>
      <w:r w:rsidRPr="00D224A4">
        <w:rPr>
          <w:rFonts w:ascii="Book Antiqua" w:hAnsi="Book Antiqua" w:cs="Arial"/>
          <w:sz w:val="22"/>
          <w:szCs w:val="22"/>
        </w:rPr>
        <w:t>, conforme tabela abaixo, bem como documentação levada a efeito pelo</w:t>
      </w:r>
      <w:r w:rsidRPr="00D46EA7">
        <w:rPr>
          <w:rFonts w:ascii="Book Antiqua" w:hAnsi="Book Antiqua" w:cs="Arial"/>
          <w:sz w:val="22"/>
          <w:szCs w:val="22"/>
        </w:rPr>
        <w:t xml:space="preserve">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5111" w:type="pct"/>
        <w:tblCellMar>
          <w:left w:w="70" w:type="dxa"/>
          <w:right w:w="70" w:type="dxa"/>
        </w:tblCellMar>
        <w:tblLook w:val="04A0" w:firstRow="1" w:lastRow="0" w:firstColumn="1" w:lastColumn="0" w:noHBand="0" w:noVBand="1"/>
      </w:tblPr>
      <w:tblGrid>
        <w:gridCol w:w="555"/>
        <w:gridCol w:w="555"/>
        <w:gridCol w:w="555"/>
        <w:gridCol w:w="656"/>
        <w:gridCol w:w="3096"/>
        <w:gridCol w:w="1107"/>
        <w:gridCol w:w="1025"/>
        <w:gridCol w:w="1114"/>
        <w:gridCol w:w="1333"/>
      </w:tblGrid>
      <w:tr w:rsidR="009A03EC" w:rsidRPr="005464EA" w:rsidTr="00B91062">
        <w:trPr>
          <w:trHeight w:val="585"/>
        </w:trPr>
        <w:tc>
          <w:tcPr>
            <w:tcW w:w="193" w:type="pct"/>
            <w:tcBorders>
              <w:top w:val="single" w:sz="8" w:space="0" w:color="auto"/>
              <w:left w:val="single" w:sz="8" w:space="0" w:color="auto"/>
              <w:bottom w:val="nil"/>
              <w:right w:val="single" w:sz="8" w:space="0" w:color="auto"/>
            </w:tcBorders>
            <w:shd w:val="clear" w:color="000000" w:fill="F2F2F2"/>
            <w:textDirection w:val="btLr"/>
            <w:vAlign w:val="center"/>
          </w:tcPr>
          <w:p w:rsidR="009A03EC" w:rsidRPr="005464EA" w:rsidRDefault="009A03EC" w:rsidP="00B91062">
            <w:pPr>
              <w:jc w:val="center"/>
              <w:rPr>
                <w:rFonts w:ascii="Arial" w:hAnsi="Arial" w:cs="Arial"/>
                <w:b/>
                <w:bCs/>
              </w:rPr>
            </w:pPr>
            <w:r>
              <w:rPr>
                <w:rFonts w:ascii="Arial" w:hAnsi="Arial" w:cs="Arial"/>
                <w:b/>
                <w:bCs/>
              </w:rPr>
              <w:t>lote</w:t>
            </w:r>
          </w:p>
        </w:tc>
        <w:tc>
          <w:tcPr>
            <w:tcW w:w="192" w:type="pct"/>
            <w:tcBorders>
              <w:top w:val="single" w:sz="8" w:space="0" w:color="auto"/>
              <w:left w:val="single" w:sz="8" w:space="0" w:color="auto"/>
              <w:bottom w:val="nil"/>
              <w:right w:val="single" w:sz="8" w:space="0" w:color="auto"/>
            </w:tcBorders>
            <w:shd w:val="clear" w:color="000000" w:fill="F2F2F2"/>
            <w:noWrap/>
            <w:textDirection w:val="btLr"/>
            <w:vAlign w:val="center"/>
            <w:hideMark/>
          </w:tcPr>
          <w:p w:rsidR="009A03EC" w:rsidRPr="005464EA" w:rsidRDefault="009A03EC" w:rsidP="00B91062">
            <w:pPr>
              <w:jc w:val="center"/>
              <w:rPr>
                <w:rFonts w:ascii="Arial" w:hAnsi="Arial" w:cs="Arial"/>
                <w:b/>
                <w:bCs/>
              </w:rPr>
            </w:pPr>
            <w:r w:rsidRPr="005464EA">
              <w:rPr>
                <w:rFonts w:ascii="Arial" w:hAnsi="Arial" w:cs="Arial"/>
                <w:b/>
                <w:bCs/>
              </w:rPr>
              <w:t>ITEM</w:t>
            </w:r>
          </w:p>
        </w:tc>
        <w:tc>
          <w:tcPr>
            <w:tcW w:w="208" w:type="pct"/>
            <w:tcBorders>
              <w:top w:val="single" w:sz="8" w:space="0" w:color="auto"/>
              <w:left w:val="nil"/>
              <w:bottom w:val="nil"/>
              <w:right w:val="single" w:sz="8" w:space="0" w:color="auto"/>
            </w:tcBorders>
            <w:shd w:val="clear" w:color="000000" w:fill="F2F2F2"/>
            <w:textDirection w:val="btLr"/>
            <w:vAlign w:val="center"/>
            <w:hideMark/>
          </w:tcPr>
          <w:p w:rsidR="009A03EC" w:rsidRPr="005464EA" w:rsidRDefault="009A03EC" w:rsidP="00B91062">
            <w:pPr>
              <w:jc w:val="center"/>
              <w:rPr>
                <w:rFonts w:ascii="Arial" w:hAnsi="Arial" w:cs="Arial"/>
                <w:b/>
                <w:bCs/>
              </w:rPr>
            </w:pPr>
            <w:r w:rsidRPr="005464EA">
              <w:rPr>
                <w:rFonts w:ascii="Arial" w:hAnsi="Arial" w:cs="Arial"/>
                <w:b/>
                <w:bCs/>
              </w:rPr>
              <w:t>QTD.</w:t>
            </w:r>
          </w:p>
        </w:tc>
        <w:tc>
          <w:tcPr>
            <w:tcW w:w="334" w:type="pct"/>
            <w:tcBorders>
              <w:top w:val="single" w:sz="8" w:space="0" w:color="auto"/>
              <w:left w:val="nil"/>
              <w:bottom w:val="nil"/>
              <w:right w:val="single" w:sz="8" w:space="0" w:color="auto"/>
            </w:tcBorders>
            <w:shd w:val="clear" w:color="000000" w:fill="F2F2F2"/>
            <w:vAlign w:val="center"/>
            <w:hideMark/>
          </w:tcPr>
          <w:p w:rsidR="009A03EC" w:rsidRPr="005464EA" w:rsidRDefault="009A03EC" w:rsidP="00B91062">
            <w:pPr>
              <w:jc w:val="center"/>
              <w:rPr>
                <w:rFonts w:ascii="Arial" w:hAnsi="Arial" w:cs="Arial"/>
                <w:b/>
                <w:bCs/>
              </w:rPr>
            </w:pPr>
            <w:r w:rsidRPr="005464EA">
              <w:rPr>
                <w:rFonts w:ascii="Arial" w:hAnsi="Arial" w:cs="Arial"/>
                <w:b/>
                <w:bCs/>
              </w:rPr>
              <w:t>UN.</w:t>
            </w:r>
          </w:p>
        </w:tc>
        <w:tc>
          <w:tcPr>
            <w:tcW w:w="1623" w:type="pct"/>
            <w:tcBorders>
              <w:top w:val="single" w:sz="8" w:space="0" w:color="auto"/>
              <w:left w:val="nil"/>
              <w:bottom w:val="nil"/>
              <w:right w:val="single" w:sz="8" w:space="0" w:color="auto"/>
            </w:tcBorders>
            <w:shd w:val="clear" w:color="000000" w:fill="F2F2F2"/>
            <w:vAlign w:val="center"/>
            <w:hideMark/>
          </w:tcPr>
          <w:p w:rsidR="009A03EC" w:rsidRPr="005464EA" w:rsidRDefault="009A03EC" w:rsidP="00B91062">
            <w:pPr>
              <w:jc w:val="center"/>
              <w:rPr>
                <w:rFonts w:ascii="Arial" w:hAnsi="Arial" w:cs="Arial"/>
                <w:b/>
                <w:bCs/>
              </w:rPr>
            </w:pPr>
            <w:r w:rsidRPr="005464EA">
              <w:rPr>
                <w:rFonts w:ascii="Arial" w:hAnsi="Arial" w:cs="Arial"/>
                <w:b/>
                <w:bCs/>
              </w:rPr>
              <w:t>ESPECIFICAÇÃO</w:t>
            </w:r>
          </w:p>
        </w:tc>
        <w:tc>
          <w:tcPr>
            <w:tcW w:w="589" w:type="pct"/>
            <w:tcBorders>
              <w:top w:val="single" w:sz="8" w:space="0" w:color="auto"/>
              <w:left w:val="nil"/>
              <w:bottom w:val="single" w:sz="8" w:space="0" w:color="auto"/>
              <w:right w:val="single" w:sz="8" w:space="0" w:color="auto"/>
            </w:tcBorders>
            <w:shd w:val="clear" w:color="000000" w:fill="F2F2F2"/>
            <w:vAlign w:val="center"/>
            <w:hideMark/>
          </w:tcPr>
          <w:p w:rsidR="009A03EC" w:rsidRPr="005464EA" w:rsidRDefault="009A03EC" w:rsidP="00B91062">
            <w:pPr>
              <w:jc w:val="center"/>
              <w:rPr>
                <w:rFonts w:ascii="Arial" w:hAnsi="Arial" w:cs="Arial"/>
                <w:b/>
                <w:bCs/>
              </w:rPr>
            </w:pPr>
            <w:r>
              <w:rPr>
                <w:rFonts w:ascii="Arial" w:hAnsi="Arial" w:cs="Arial"/>
                <w:b/>
                <w:bCs/>
              </w:rPr>
              <w:t>PREÇO UNITÁRIO</w:t>
            </w:r>
            <w:r w:rsidRPr="005464EA">
              <w:rPr>
                <w:rFonts w:ascii="Arial" w:hAnsi="Arial" w:cs="Arial"/>
                <w:b/>
                <w:bCs/>
              </w:rPr>
              <w:t xml:space="preserve"> </w:t>
            </w:r>
          </w:p>
        </w:tc>
        <w:tc>
          <w:tcPr>
            <w:tcW w:w="557" w:type="pct"/>
            <w:tcBorders>
              <w:top w:val="single" w:sz="8" w:space="0" w:color="auto"/>
              <w:left w:val="nil"/>
              <w:bottom w:val="single" w:sz="8" w:space="0" w:color="auto"/>
              <w:right w:val="single" w:sz="8" w:space="0" w:color="auto"/>
            </w:tcBorders>
            <w:shd w:val="clear" w:color="000000" w:fill="F2F2F2"/>
            <w:vAlign w:val="center"/>
            <w:hideMark/>
          </w:tcPr>
          <w:p w:rsidR="009A03EC" w:rsidRPr="005464EA" w:rsidRDefault="009A03EC" w:rsidP="00B91062">
            <w:pPr>
              <w:jc w:val="center"/>
              <w:rPr>
                <w:rFonts w:ascii="Arial" w:hAnsi="Arial" w:cs="Arial"/>
                <w:b/>
                <w:bCs/>
              </w:rPr>
            </w:pPr>
            <w:r w:rsidRPr="005464EA">
              <w:rPr>
                <w:rFonts w:ascii="Arial" w:hAnsi="Arial" w:cs="Arial"/>
                <w:b/>
                <w:bCs/>
              </w:rPr>
              <w:t xml:space="preserve">PREÇO TOTAL </w:t>
            </w:r>
            <w:r>
              <w:rPr>
                <w:rFonts w:ascii="Arial" w:hAnsi="Arial" w:cs="Arial"/>
                <w:b/>
                <w:bCs/>
              </w:rPr>
              <w:t>mensal</w:t>
            </w:r>
            <w:r w:rsidRPr="005464EA">
              <w:rPr>
                <w:rFonts w:ascii="Arial" w:hAnsi="Arial" w:cs="Arial"/>
                <w:b/>
                <w:bCs/>
              </w:rPr>
              <w:t xml:space="preserve"> </w:t>
            </w:r>
          </w:p>
        </w:tc>
        <w:tc>
          <w:tcPr>
            <w:tcW w:w="597" w:type="pct"/>
            <w:tcBorders>
              <w:top w:val="single" w:sz="8" w:space="0" w:color="auto"/>
              <w:left w:val="single" w:sz="8" w:space="0" w:color="auto"/>
              <w:bottom w:val="single" w:sz="8" w:space="0" w:color="000000"/>
              <w:right w:val="single" w:sz="8" w:space="0" w:color="000000"/>
            </w:tcBorders>
            <w:shd w:val="clear" w:color="000000" w:fill="F2F2F2"/>
            <w:vAlign w:val="center"/>
            <w:hideMark/>
          </w:tcPr>
          <w:p w:rsidR="009A03EC" w:rsidRPr="005464EA" w:rsidRDefault="009A03EC" w:rsidP="00B91062">
            <w:pPr>
              <w:jc w:val="center"/>
              <w:rPr>
                <w:rFonts w:ascii="Arial" w:hAnsi="Arial" w:cs="Arial"/>
                <w:b/>
                <w:bCs/>
              </w:rPr>
            </w:pPr>
            <w:r>
              <w:rPr>
                <w:rFonts w:ascii="Arial" w:hAnsi="Arial" w:cs="Arial"/>
                <w:b/>
                <w:bCs/>
              </w:rPr>
              <w:t>Preço total anual</w:t>
            </w:r>
          </w:p>
        </w:tc>
        <w:tc>
          <w:tcPr>
            <w:tcW w:w="708" w:type="pct"/>
            <w:tcBorders>
              <w:top w:val="single" w:sz="8" w:space="0" w:color="auto"/>
              <w:left w:val="single" w:sz="8" w:space="0" w:color="auto"/>
              <w:bottom w:val="single" w:sz="8" w:space="0" w:color="000000"/>
              <w:right w:val="single" w:sz="8" w:space="0" w:color="000000"/>
            </w:tcBorders>
            <w:shd w:val="clear" w:color="000000" w:fill="F2F2F2"/>
            <w:vAlign w:val="center"/>
          </w:tcPr>
          <w:p w:rsidR="009A03EC" w:rsidRPr="005464EA" w:rsidRDefault="009A03EC" w:rsidP="00B91062">
            <w:pPr>
              <w:jc w:val="center"/>
              <w:rPr>
                <w:rFonts w:ascii="Arial" w:hAnsi="Arial" w:cs="Arial"/>
                <w:b/>
                <w:bCs/>
              </w:rPr>
            </w:pPr>
            <w:r>
              <w:rPr>
                <w:rFonts w:ascii="Arial" w:hAnsi="Arial" w:cs="Arial"/>
                <w:b/>
                <w:bCs/>
              </w:rPr>
              <w:t>Valor total do lote</w:t>
            </w:r>
          </w:p>
        </w:tc>
      </w:tr>
      <w:tr w:rsidR="009A03EC" w:rsidRPr="005464EA" w:rsidTr="009A03EC">
        <w:trPr>
          <w:trHeight w:val="4650"/>
        </w:trPr>
        <w:tc>
          <w:tcPr>
            <w:tcW w:w="193" w:type="pct"/>
            <w:vMerge w:val="restart"/>
            <w:tcBorders>
              <w:top w:val="single" w:sz="4" w:space="0" w:color="auto"/>
              <w:left w:val="single" w:sz="4" w:space="0" w:color="auto"/>
              <w:right w:val="single" w:sz="4" w:space="0" w:color="auto"/>
            </w:tcBorders>
            <w:vAlign w:val="center"/>
          </w:tcPr>
          <w:p w:rsidR="009A03EC" w:rsidRPr="005464EA" w:rsidRDefault="009A03EC" w:rsidP="00B91062">
            <w:pPr>
              <w:jc w:val="center"/>
              <w:rPr>
                <w:rFonts w:ascii="Arial" w:hAnsi="Arial" w:cs="Arial"/>
                <w:sz w:val="16"/>
                <w:szCs w:val="16"/>
              </w:rPr>
            </w:pPr>
            <w:r>
              <w:rPr>
                <w:rFonts w:ascii="Arial" w:hAnsi="Arial" w:cs="Arial"/>
                <w:sz w:val="16"/>
                <w:szCs w:val="16"/>
              </w:rPr>
              <w:t>1</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3EC" w:rsidRPr="005464EA" w:rsidRDefault="009A03EC" w:rsidP="00B91062">
            <w:pPr>
              <w:jc w:val="center"/>
              <w:rPr>
                <w:rFonts w:ascii="Arial" w:hAnsi="Arial" w:cs="Arial"/>
                <w:sz w:val="16"/>
                <w:szCs w:val="16"/>
              </w:rPr>
            </w:pPr>
            <w:r w:rsidRPr="005464EA">
              <w:rPr>
                <w:rFonts w:ascii="Arial" w:hAnsi="Arial" w:cs="Arial"/>
                <w:sz w:val="16"/>
                <w:szCs w:val="16"/>
              </w:rPr>
              <w:t>1</w:t>
            </w:r>
          </w:p>
        </w:tc>
        <w:tc>
          <w:tcPr>
            <w:tcW w:w="208" w:type="pct"/>
            <w:tcBorders>
              <w:top w:val="single" w:sz="4" w:space="0" w:color="auto"/>
              <w:left w:val="nil"/>
              <w:bottom w:val="single" w:sz="4" w:space="0" w:color="auto"/>
              <w:right w:val="single" w:sz="4" w:space="0" w:color="auto"/>
            </w:tcBorders>
            <w:shd w:val="clear" w:color="auto" w:fill="auto"/>
            <w:vAlign w:val="center"/>
            <w:hideMark/>
          </w:tcPr>
          <w:p w:rsidR="009A03EC" w:rsidRPr="005464EA" w:rsidRDefault="009A03EC" w:rsidP="00B91062">
            <w:pPr>
              <w:jc w:val="center"/>
              <w:rPr>
                <w:rFonts w:ascii="Arial" w:hAnsi="Arial" w:cs="Arial"/>
                <w:sz w:val="16"/>
                <w:szCs w:val="16"/>
              </w:rPr>
            </w:pPr>
            <w:r w:rsidRPr="005464EA">
              <w:rPr>
                <w:rFonts w:ascii="Arial" w:hAnsi="Arial" w:cs="Arial"/>
                <w:sz w:val="16"/>
                <w:szCs w:val="16"/>
              </w:rPr>
              <w:t>280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rsidR="009A03EC" w:rsidRPr="005464EA" w:rsidRDefault="009A03EC" w:rsidP="00B91062">
            <w:pPr>
              <w:jc w:val="center"/>
              <w:rPr>
                <w:rFonts w:ascii="Arial" w:hAnsi="Arial" w:cs="Arial"/>
                <w:sz w:val="16"/>
                <w:szCs w:val="16"/>
              </w:rPr>
            </w:pPr>
            <w:r w:rsidRPr="005464EA">
              <w:rPr>
                <w:rFonts w:ascii="Arial" w:hAnsi="Arial" w:cs="Arial"/>
                <w:sz w:val="16"/>
                <w:szCs w:val="16"/>
              </w:rPr>
              <w:t>mensal</w:t>
            </w:r>
          </w:p>
        </w:tc>
        <w:tc>
          <w:tcPr>
            <w:tcW w:w="1623" w:type="pct"/>
            <w:tcBorders>
              <w:top w:val="single" w:sz="4" w:space="0" w:color="auto"/>
              <w:left w:val="nil"/>
              <w:bottom w:val="single" w:sz="4" w:space="0" w:color="auto"/>
              <w:right w:val="nil"/>
            </w:tcBorders>
            <w:shd w:val="clear" w:color="auto" w:fill="auto"/>
            <w:vAlign w:val="center"/>
            <w:hideMark/>
          </w:tcPr>
          <w:p w:rsidR="009A03EC" w:rsidRPr="005464EA" w:rsidRDefault="009A03EC" w:rsidP="00B91062">
            <w:pPr>
              <w:rPr>
                <w:rFonts w:ascii="Arial" w:hAnsi="Arial" w:cs="Arial"/>
              </w:rPr>
            </w:pPr>
            <w:r w:rsidRPr="005464EA">
              <w:rPr>
                <w:rFonts w:ascii="Arial" w:hAnsi="Arial" w:cs="Arial"/>
              </w:rPr>
              <w:t xml:space="preserve"> </w:t>
            </w:r>
            <w:proofErr w:type="gramStart"/>
            <w:r w:rsidRPr="005464EA">
              <w:rPr>
                <w:rFonts w:ascii="Arial" w:hAnsi="Arial" w:cs="Arial"/>
              </w:rPr>
              <w:t>sistema</w:t>
            </w:r>
            <w:proofErr w:type="gramEnd"/>
            <w:r w:rsidRPr="005464EA">
              <w:rPr>
                <w:rFonts w:ascii="Arial" w:hAnsi="Arial" w:cs="Arial"/>
              </w:rPr>
              <w:t xml:space="preserve"> de rastreamento para veículos da </w:t>
            </w:r>
            <w:proofErr w:type="spellStart"/>
            <w:r w:rsidRPr="005464EA">
              <w:rPr>
                <w:rFonts w:ascii="Arial" w:hAnsi="Arial" w:cs="Arial"/>
              </w:rPr>
              <w:t>Frota,contendo</w:t>
            </w:r>
            <w:proofErr w:type="spellEnd"/>
            <w:r w:rsidRPr="005464EA">
              <w:rPr>
                <w:rFonts w:ascii="Arial" w:hAnsi="Arial" w:cs="Arial"/>
              </w:rPr>
              <w:t xml:space="preserve"> telemetria e identificação de condutores, compreendendo o rastreamento, monitoramento e telemetria mensal dos veículos com identificação dos condutores por tecnologia GPS/GSM/GPRS, bem como a disponibilização de software de gerenciamento com acesso via WEB, incluindo licença de uso, central de monitoramento e recursos para acompanhamento em tempo real e geração de relatórios. O serviço inclui ainda a instalação, configuração e ativação dos equipamentos, a capacitação dos usuários designados, o suporte técnico especializado durante toda a vigência contratual e a garantia de pleno funcionamento dos equipamentos e do sistema.</w:t>
            </w:r>
          </w:p>
        </w:tc>
        <w:tc>
          <w:tcPr>
            <w:tcW w:w="589" w:type="pct"/>
            <w:tcBorders>
              <w:top w:val="nil"/>
              <w:left w:val="single" w:sz="8" w:space="0" w:color="auto"/>
              <w:bottom w:val="single" w:sz="4" w:space="0" w:color="auto"/>
              <w:right w:val="single" w:sz="4" w:space="0" w:color="auto"/>
            </w:tcBorders>
            <w:shd w:val="clear" w:color="auto" w:fill="auto"/>
            <w:vAlign w:val="center"/>
          </w:tcPr>
          <w:p w:rsidR="009A03EC" w:rsidRPr="005464EA" w:rsidRDefault="009A03EC" w:rsidP="00B91062">
            <w:pPr>
              <w:rPr>
                <w:rFonts w:ascii="Arial" w:hAnsi="Arial" w:cs="Arial"/>
              </w:rPr>
            </w:pPr>
          </w:p>
        </w:tc>
        <w:tc>
          <w:tcPr>
            <w:tcW w:w="557" w:type="pct"/>
            <w:tcBorders>
              <w:top w:val="nil"/>
              <w:left w:val="single" w:sz="8" w:space="0" w:color="auto"/>
              <w:bottom w:val="single" w:sz="4" w:space="0" w:color="auto"/>
              <w:right w:val="single" w:sz="4" w:space="0" w:color="auto"/>
            </w:tcBorders>
            <w:shd w:val="clear" w:color="auto" w:fill="auto"/>
            <w:vAlign w:val="center"/>
          </w:tcPr>
          <w:p w:rsidR="009A03EC" w:rsidRPr="005464EA" w:rsidRDefault="009A03EC" w:rsidP="00B91062">
            <w:pPr>
              <w:jc w:val="center"/>
              <w:rPr>
                <w:rFonts w:ascii="Arial" w:hAnsi="Arial" w:cs="Arial"/>
              </w:rPr>
            </w:pPr>
          </w:p>
        </w:tc>
        <w:tc>
          <w:tcPr>
            <w:tcW w:w="597" w:type="pct"/>
            <w:tcBorders>
              <w:top w:val="nil"/>
              <w:left w:val="single" w:sz="8" w:space="0" w:color="auto"/>
              <w:bottom w:val="single" w:sz="4" w:space="0" w:color="auto"/>
              <w:right w:val="single" w:sz="4" w:space="0" w:color="auto"/>
            </w:tcBorders>
            <w:shd w:val="clear" w:color="000000" w:fill="F2F2F2"/>
            <w:vAlign w:val="center"/>
          </w:tcPr>
          <w:p w:rsidR="009A03EC" w:rsidRPr="005464EA" w:rsidRDefault="009A03EC" w:rsidP="00B91062">
            <w:pPr>
              <w:jc w:val="center"/>
              <w:rPr>
                <w:rFonts w:ascii="Arial" w:hAnsi="Arial" w:cs="Arial"/>
                <w:b/>
                <w:bCs/>
              </w:rPr>
            </w:pPr>
            <w:bookmarkStart w:id="0" w:name="_GoBack"/>
            <w:bookmarkEnd w:id="0"/>
          </w:p>
        </w:tc>
        <w:tc>
          <w:tcPr>
            <w:tcW w:w="708" w:type="pct"/>
            <w:vMerge w:val="restart"/>
            <w:tcBorders>
              <w:top w:val="nil"/>
              <w:left w:val="single" w:sz="8" w:space="0" w:color="auto"/>
              <w:right w:val="single" w:sz="4" w:space="0" w:color="auto"/>
            </w:tcBorders>
            <w:shd w:val="clear" w:color="000000" w:fill="F2F2F2"/>
            <w:vAlign w:val="center"/>
          </w:tcPr>
          <w:p w:rsidR="009A03EC" w:rsidRPr="005464EA" w:rsidRDefault="009A03EC" w:rsidP="00B91062">
            <w:pPr>
              <w:jc w:val="center"/>
              <w:rPr>
                <w:rFonts w:ascii="Arial" w:hAnsi="Arial" w:cs="Arial"/>
                <w:b/>
                <w:bCs/>
              </w:rPr>
            </w:pPr>
          </w:p>
        </w:tc>
      </w:tr>
      <w:tr w:rsidR="009A03EC" w:rsidRPr="005464EA" w:rsidTr="009A03EC">
        <w:trPr>
          <w:trHeight w:val="255"/>
        </w:trPr>
        <w:tc>
          <w:tcPr>
            <w:tcW w:w="193" w:type="pct"/>
            <w:vMerge/>
            <w:tcBorders>
              <w:left w:val="single" w:sz="4" w:space="0" w:color="auto"/>
              <w:bottom w:val="single" w:sz="4" w:space="0" w:color="auto"/>
              <w:right w:val="single" w:sz="4" w:space="0" w:color="auto"/>
            </w:tcBorders>
            <w:vAlign w:val="center"/>
          </w:tcPr>
          <w:p w:rsidR="009A03EC" w:rsidRPr="005464EA" w:rsidRDefault="009A03EC" w:rsidP="00B91062">
            <w:pPr>
              <w:jc w:val="center"/>
              <w:rPr>
                <w:rFonts w:ascii="Arial" w:hAnsi="Arial" w:cs="Arial"/>
                <w:sz w:val="16"/>
                <w:szCs w:val="16"/>
              </w:rPr>
            </w:pPr>
          </w:p>
        </w:tc>
        <w:tc>
          <w:tcPr>
            <w:tcW w:w="192" w:type="pct"/>
            <w:tcBorders>
              <w:top w:val="nil"/>
              <w:left w:val="single" w:sz="4" w:space="0" w:color="auto"/>
              <w:bottom w:val="single" w:sz="4" w:space="0" w:color="auto"/>
              <w:right w:val="single" w:sz="4" w:space="0" w:color="auto"/>
            </w:tcBorders>
            <w:shd w:val="clear" w:color="auto" w:fill="auto"/>
            <w:vAlign w:val="center"/>
            <w:hideMark/>
          </w:tcPr>
          <w:p w:rsidR="009A03EC" w:rsidRPr="005464EA" w:rsidRDefault="009A03EC" w:rsidP="00B91062">
            <w:pPr>
              <w:jc w:val="center"/>
              <w:rPr>
                <w:rFonts w:ascii="Arial" w:hAnsi="Arial" w:cs="Arial"/>
                <w:sz w:val="16"/>
                <w:szCs w:val="16"/>
              </w:rPr>
            </w:pPr>
            <w:r w:rsidRPr="005464EA">
              <w:rPr>
                <w:rFonts w:ascii="Arial" w:hAnsi="Arial" w:cs="Arial"/>
                <w:sz w:val="16"/>
                <w:szCs w:val="16"/>
              </w:rPr>
              <w:t>2</w:t>
            </w:r>
          </w:p>
        </w:tc>
        <w:tc>
          <w:tcPr>
            <w:tcW w:w="208" w:type="pct"/>
            <w:tcBorders>
              <w:top w:val="nil"/>
              <w:left w:val="nil"/>
              <w:bottom w:val="single" w:sz="4" w:space="0" w:color="auto"/>
              <w:right w:val="single" w:sz="4" w:space="0" w:color="auto"/>
            </w:tcBorders>
            <w:shd w:val="clear" w:color="auto" w:fill="auto"/>
            <w:vAlign w:val="center"/>
            <w:hideMark/>
          </w:tcPr>
          <w:p w:rsidR="009A03EC" w:rsidRPr="005464EA" w:rsidRDefault="009A03EC" w:rsidP="00B91062">
            <w:pPr>
              <w:jc w:val="center"/>
              <w:rPr>
                <w:rFonts w:ascii="Arial" w:hAnsi="Arial" w:cs="Arial"/>
                <w:sz w:val="16"/>
                <w:szCs w:val="16"/>
              </w:rPr>
            </w:pPr>
            <w:r w:rsidRPr="005464EA">
              <w:rPr>
                <w:rFonts w:ascii="Arial" w:hAnsi="Arial" w:cs="Arial"/>
                <w:sz w:val="16"/>
                <w:szCs w:val="16"/>
              </w:rPr>
              <w:t>280</w:t>
            </w:r>
          </w:p>
        </w:tc>
        <w:tc>
          <w:tcPr>
            <w:tcW w:w="334" w:type="pct"/>
            <w:tcBorders>
              <w:top w:val="nil"/>
              <w:left w:val="nil"/>
              <w:bottom w:val="single" w:sz="4" w:space="0" w:color="auto"/>
              <w:right w:val="single" w:sz="4" w:space="0" w:color="auto"/>
            </w:tcBorders>
            <w:shd w:val="clear" w:color="auto" w:fill="auto"/>
            <w:vAlign w:val="center"/>
            <w:hideMark/>
          </w:tcPr>
          <w:p w:rsidR="009A03EC" w:rsidRPr="005464EA" w:rsidRDefault="009A03EC" w:rsidP="00B91062">
            <w:pPr>
              <w:jc w:val="center"/>
              <w:rPr>
                <w:rFonts w:ascii="Arial" w:hAnsi="Arial" w:cs="Arial"/>
                <w:sz w:val="16"/>
                <w:szCs w:val="16"/>
              </w:rPr>
            </w:pPr>
            <w:r w:rsidRPr="005464EA">
              <w:rPr>
                <w:rFonts w:ascii="Arial" w:hAnsi="Arial" w:cs="Arial"/>
                <w:sz w:val="16"/>
                <w:szCs w:val="16"/>
              </w:rPr>
              <w:t>ÚNICA</w:t>
            </w:r>
          </w:p>
        </w:tc>
        <w:tc>
          <w:tcPr>
            <w:tcW w:w="1623" w:type="pct"/>
            <w:tcBorders>
              <w:top w:val="nil"/>
              <w:left w:val="nil"/>
              <w:bottom w:val="single" w:sz="4" w:space="0" w:color="auto"/>
              <w:right w:val="nil"/>
            </w:tcBorders>
            <w:shd w:val="clear" w:color="auto" w:fill="auto"/>
            <w:vAlign w:val="center"/>
            <w:hideMark/>
          </w:tcPr>
          <w:p w:rsidR="009A03EC" w:rsidRPr="005464EA" w:rsidRDefault="009A03EC" w:rsidP="00B91062">
            <w:pPr>
              <w:rPr>
                <w:rFonts w:ascii="Arial" w:hAnsi="Arial" w:cs="Arial"/>
              </w:rPr>
            </w:pPr>
            <w:r w:rsidRPr="005464EA">
              <w:rPr>
                <w:rFonts w:ascii="Arial" w:hAnsi="Arial" w:cs="Arial"/>
              </w:rPr>
              <w:t>Serviço de instalação de rastreadores</w:t>
            </w:r>
          </w:p>
        </w:tc>
        <w:tc>
          <w:tcPr>
            <w:tcW w:w="589" w:type="pct"/>
            <w:tcBorders>
              <w:top w:val="nil"/>
              <w:left w:val="single" w:sz="4" w:space="0" w:color="auto"/>
              <w:bottom w:val="single" w:sz="4" w:space="0" w:color="auto"/>
              <w:right w:val="single" w:sz="4" w:space="0" w:color="auto"/>
            </w:tcBorders>
            <w:shd w:val="clear" w:color="auto" w:fill="auto"/>
            <w:noWrap/>
            <w:vAlign w:val="center"/>
          </w:tcPr>
          <w:p w:rsidR="009A03EC" w:rsidRPr="005464EA" w:rsidRDefault="009A03EC" w:rsidP="00B91062">
            <w:pPr>
              <w:rPr>
                <w:rFonts w:ascii="Arial" w:hAnsi="Arial" w:cs="Arial"/>
              </w:rPr>
            </w:pPr>
          </w:p>
        </w:tc>
        <w:tc>
          <w:tcPr>
            <w:tcW w:w="557" w:type="pct"/>
            <w:tcBorders>
              <w:top w:val="single" w:sz="8" w:space="0" w:color="auto"/>
              <w:left w:val="single" w:sz="8" w:space="0" w:color="auto"/>
              <w:bottom w:val="single" w:sz="4" w:space="0" w:color="auto"/>
              <w:right w:val="single" w:sz="4" w:space="0" w:color="auto"/>
            </w:tcBorders>
            <w:shd w:val="clear" w:color="auto" w:fill="auto"/>
            <w:vAlign w:val="center"/>
          </w:tcPr>
          <w:p w:rsidR="009A03EC" w:rsidRPr="005464EA" w:rsidRDefault="009A03EC" w:rsidP="00B91062">
            <w:pPr>
              <w:rPr>
                <w:rFonts w:ascii="Arial" w:hAnsi="Arial" w:cs="Arial"/>
              </w:rPr>
            </w:pPr>
          </w:p>
        </w:tc>
        <w:tc>
          <w:tcPr>
            <w:tcW w:w="597" w:type="pct"/>
            <w:tcBorders>
              <w:top w:val="nil"/>
              <w:left w:val="nil"/>
              <w:bottom w:val="single" w:sz="4" w:space="0" w:color="auto"/>
              <w:right w:val="single" w:sz="8" w:space="0" w:color="auto"/>
            </w:tcBorders>
            <w:shd w:val="clear" w:color="auto" w:fill="auto"/>
            <w:noWrap/>
            <w:vAlign w:val="center"/>
            <w:hideMark/>
          </w:tcPr>
          <w:p w:rsidR="009A03EC" w:rsidRPr="005464EA" w:rsidRDefault="009A03EC" w:rsidP="00B91062">
            <w:pPr>
              <w:jc w:val="center"/>
              <w:rPr>
                <w:rFonts w:ascii="Arial" w:hAnsi="Arial" w:cs="Arial"/>
                <w:highlight w:val="yellow"/>
              </w:rPr>
            </w:pPr>
            <w:r w:rsidRPr="001947B6">
              <w:rPr>
                <w:rFonts w:ascii="Arial" w:hAnsi="Arial" w:cs="Arial"/>
              </w:rPr>
              <w:t>-</w:t>
            </w:r>
          </w:p>
        </w:tc>
        <w:tc>
          <w:tcPr>
            <w:tcW w:w="708" w:type="pct"/>
            <w:vMerge/>
            <w:tcBorders>
              <w:left w:val="single" w:sz="8" w:space="0" w:color="auto"/>
              <w:bottom w:val="single" w:sz="4" w:space="0" w:color="auto"/>
              <w:right w:val="single" w:sz="4" w:space="0" w:color="auto"/>
            </w:tcBorders>
            <w:shd w:val="clear" w:color="auto" w:fill="auto"/>
            <w:noWrap/>
            <w:vAlign w:val="center"/>
            <w:hideMark/>
          </w:tcPr>
          <w:p w:rsidR="009A03EC" w:rsidRPr="005464EA" w:rsidRDefault="009A03EC" w:rsidP="00B91062">
            <w:pPr>
              <w:rPr>
                <w:rFonts w:ascii="Arial" w:hAnsi="Arial" w:cs="Arial"/>
                <w:highlight w:val="yellow"/>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lastRenderedPageBreak/>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224A4" w:rsidRDefault="00D224A4" w:rsidP="00D224A4">
      <w:pPr>
        <w:pStyle w:val="PargrafodaLista"/>
        <w:overflowPunct/>
        <w:autoSpaceDE/>
        <w:autoSpaceDN/>
        <w:adjustRightInd/>
        <w:ind w:left="426"/>
        <w:jc w:val="both"/>
        <w:rPr>
          <w:rFonts w:ascii="Book Antiqua" w:hAnsi="Book Antiqua"/>
          <w:sz w:val="22"/>
          <w:szCs w:val="22"/>
        </w:rPr>
      </w:pP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Substituir os produtos em desacordo à proposta ou às especificações do objeto desta licitação, ou que porventura sejam entregues com defeitos ou imperfeições.</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 transporte dos produtos deverá ser feito dentro do preconizado para cada um e devidamente protegido quanto a danos.</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Em caso de dano e extravio do produto durante o transporte, o mesmo deverá ser devidamente reposto, sem qualquer ônus adicional para o município.</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proofErr w:type="gramStart"/>
      <w:r w:rsidRPr="0072615A">
        <w:rPr>
          <w:rFonts w:ascii="Book Antiqua" w:hAnsi="Book Antiqua"/>
          <w:sz w:val="22"/>
          <w:szCs w:val="22"/>
        </w:rPr>
        <w:t>A adjudicatária, assim como a contratante, deverão</w:t>
      </w:r>
      <w:proofErr w:type="gramEnd"/>
      <w:r w:rsidRPr="0072615A">
        <w:rPr>
          <w:rFonts w:ascii="Book Antiqua" w:hAnsi="Book Antiqua"/>
          <w:sz w:val="22"/>
          <w:szCs w:val="22"/>
        </w:rPr>
        <w:t xml:space="preserve"> atender a Lei Federal 12.846/2013, a fim de inibir as práticas de fraude e corrupção. </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224A4" w:rsidRPr="0072615A" w:rsidRDefault="00D224A4" w:rsidP="00D224A4">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Os produtos deverão obedecer às normas e padrão ABNT, INMETRO, ANVISA, Legislação Vigente e demais órgãos reguladores referente ao ramo de atividades.</w:t>
      </w:r>
    </w:p>
    <w:p w:rsidR="00D224A4" w:rsidRPr="0072615A" w:rsidRDefault="00D224A4" w:rsidP="00D224A4">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72615A">
        <w:rPr>
          <w:rFonts w:ascii="Book Antiqua" w:hAnsi="Book Antiqua"/>
          <w:szCs w:val="22"/>
        </w:rPr>
        <w:t>O produto deverá atender integralmente as especificações do edital.</w:t>
      </w:r>
    </w:p>
    <w:p w:rsidR="00D224A4" w:rsidRPr="0072615A" w:rsidRDefault="00D224A4" w:rsidP="00D224A4">
      <w:pPr>
        <w:pStyle w:val="Estilo1"/>
        <w:numPr>
          <w:ilvl w:val="0"/>
          <w:numId w:val="19"/>
        </w:numPr>
        <w:spacing w:after="0" w:line="240" w:lineRule="auto"/>
        <w:ind w:left="426" w:hanging="426"/>
      </w:pPr>
      <w:r w:rsidRPr="0072615A">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D224A4" w:rsidRPr="0072615A" w:rsidRDefault="00D224A4" w:rsidP="00D224A4">
      <w:pPr>
        <w:pStyle w:val="Estilo1"/>
        <w:numPr>
          <w:ilvl w:val="0"/>
          <w:numId w:val="19"/>
        </w:numPr>
        <w:spacing w:after="0" w:line="240" w:lineRule="auto"/>
        <w:ind w:left="426" w:hanging="426"/>
      </w:pPr>
      <w:r w:rsidRPr="0072615A">
        <w:t xml:space="preserve">Se os itens apresentarem desconformidades com as exigências normativas, não serão recebidos definitivamente, devendo ser imediatamente substituídos pela </w:t>
      </w:r>
      <w:r w:rsidRPr="0072615A">
        <w:rPr>
          <w:bCs/>
        </w:rPr>
        <w:t>contratada</w:t>
      </w:r>
      <w:r w:rsidRPr="0072615A">
        <w:t xml:space="preserve">, sem ônus para a </w:t>
      </w:r>
      <w:r w:rsidRPr="0072615A">
        <w:rPr>
          <w:bCs/>
        </w:rPr>
        <w:t>administração</w:t>
      </w:r>
      <w:r w:rsidRPr="0072615A">
        <w:t xml:space="preserve">. </w:t>
      </w:r>
    </w:p>
    <w:p w:rsidR="00D224A4" w:rsidRPr="0072615A" w:rsidRDefault="00D224A4" w:rsidP="00D224A4">
      <w:pPr>
        <w:pStyle w:val="Estilo1"/>
        <w:numPr>
          <w:ilvl w:val="0"/>
          <w:numId w:val="19"/>
        </w:numPr>
        <w:spacing w:after="0" w:line="240" w:lineRule="auto"/>
        <w:ind w:left="426" w:hanging="426"/>
      </w:pPr>
      <w:r w:rsidRPr="0072615A">
        <w:t xml:space="preserve">Consultar com antecedência o seu fornecedor quanto ao prazo de entrega dos itens especificados, </w:t>
      </w:r>
      <w:r w:rsidRPr="0072615A">
        <w:rPr>
          <w:bCs/>
        </w:rPr>
        <w:t xml:space="preserve">não cabendo, portanto, a justificativa de atraso do fornecimento </w:t>
      </w:r>
      <w:r w:rsidRPr="0072615A">
        <w:t xml:space="preserve">devido ao não cumprimento da entrega por parte do fornecedor. </w:t>
      </w:r>
    </w:p>
    <w:p w:rsidR="00D224A4" w:rsidRPr="0072615A" w:rsidRDefault="00D224A4" w:rsidP="00D224A4">
      <w:pPr>
        <w:pStyle w:val="Estilo1"/>
        <w:numPr>
          <w:ilvl w:val="0"/>
          <w:numId w:val="19"/>
        </w:numPr>
        <w:spacing w:after="0" w:line="240" w:lineRule="auto"/>
        <w:ind w:left="426" w:hanging="426"/>
      </w:pPr>
      <w:r w:rsidRPr="0072615A">
        <w:t xml:space="preserve">Aceitar toda e qualquer fiscalização da </w:t>
      </w:r>
      <w:r w:rsidRPr="0072615A">
        <w:rPr>
          <w:bCs/>
        </w:rPr>
        <w:t>administração</w:t>
      </w:r>
      <w:r w:rsidRPr="0072615A">
        <w:t>, no tocante ao objeto do presente termo de referência, assim como ao cumprimento das obrigações previstas no edital</w:t>
      </w:r>
      <w:r w:rsidRPr="0072615A">
        <w:rPr>
          <w:bCs/>
        </w:rPr>
        <w:t>.</w:t>
      </w:r>
    </w:p>
    <w:p w:rsidR="00D224A4" w:rsidRPr="0072615A" w:rsidRDefault="00D224A4" w:rsidP="00D224A4">
      <w:pPr>
        <w:pStyle w:val="Estilo1"/>
        <w:numPr>
          <w:ilvl w:val="0"/>
          <w:numId w:val="19"/>
        </w:numPr>
        <w:spacing w:after="0" w:line="240" w:lineRule="auto"/>
        <w:ind w:left="426" w:hanging="426"/>
      </w:pPr>
      <w:r w:rsidRPr="0072615A">
        <w:t xml:space="preserve">A existência e atuação da fiscalização da </w:t>
      </w:r>
      <w:r w:rsidRPr="0072615A">
        <w:rPr>
          <w:bCs/>
        </w:rPr>
        <w:t>administração</w:t>
      </w:r>
      <w:r w:rsidRPr="0072615A">
        <w:t xml:space="preserve">, em nada restringem a responsabilidade única, integral e exclusiva da </w:t>
      </w:r>
      <w:r w:rsidRPr="0072615A">
        <w:rPr>
          <w:bCs/>
        </w:rPr>
        <w:t>contratada</w:t>
      </w:r>
      <w:r w:rsidRPr="0072615A">
        <w:t xml:space="preserve">, no que concerne ao fornecimento dos equipamentos e as suas consequências e implicações. </w:t>
      </w:r>
    </w:p>
    <w:p w:rsidR="00D224A4" w:rsidRPr="0072615A" w:rsidRDefault="00D224A4" w:rsidP="00D224A4">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72615A">
        <w:rPr>
          <w:rFonts w:ascii="Book Antiqua" w:hAnsi="Book Antiqua" w:cs="Helvetica"/>
          <w:sz w:val="22"/>
          <w:szCs w:val="22"/>
        </w:rPr>
        <w:lastRenderedPageBreak/>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72615A">
        <w:rPr>
          <w:rFonts w:ascii="Book Antiqua" w:hAnsi="Book Antiqua" w:cs="Helvetica"/>
          <w:sz w:val="22"/>
          <w:szCs w:val="22"/>
        </w:rPr>
        <w:t>arts</w:t>
      </w:r>
      <w:proofErr w:type="spellEnd"/>
      <w:r w:rsidRPr="0072615A">
        <w:rPr>
          <w:rFonts w:ascii="Book Antiqua" w:hAnsi="Book Antiqua" w:cs="Helvetica"/>
          <w:sz w:val="22"/>
          <w:szCs w:val="22"/>
        </w:rPr>
        <w:t>.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D224A4" w:rsidRDefault="00D224A4" w:rsidP="00DF4F84">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O fornecimento dos produtos deverá ser efetuado mediante requisição emitida pela Secretaria competente do Município. </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 fornecimento dos produtos deverá ser efetuado de acordo com o local indicado na requisição, desde que apresentada à requisição devidamente preenchida.</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72615A">
          <w:rPr>
            <w:rFonts w:ascii="Book Antiqua" w:hAnsi="Book Antiqua"/>
            <w:sz w:val="22"/>
            <w:szCs w:val="22"/>
          </w:rPr>
          <w:t>1 a</w:t>
        </w:r>
      </w:smartTag>
      <w:r w:rsidRPr="0072615A">
        <w:rPr>
          <w:rFonts w:ascii="Book Antiqua" w:hAnsi="Book Antiqua"/>
          <w:sz w:val="22"/>
          <w:szCs w:val="22"/>
        </w:rPr>
        <w:t xml:space="preserve"> 3 dias úteis para a substituição da nota fiscal por outra contendo apenas os itens aprovados.</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72615A">
        <w:rPr>
          <w:rFonts w:ascii="Book Antiqua" w:hAnsi="Book Antiqua"/>
          <w:sz w:val="22"/>
          <w:szCs w:val="22"/>
        </w:rPr>
        <w:t>facultando-se-lhe</w:t>
      </w:r>
      <w:proofErr w:type="spellEnd"/>
      <w:r w:rsidRPr="0072615A">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D224A4" w:rsidRPr="0072615A" w:rsidRDefault="00D224A4" w:rsidP="00D224A4">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72615A">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Todos os itens licitados devem estar de acordo com o descritivo constante em sua respectiva discriminação.</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72615A">
        <w:rPr>
          <w:rFonts w:ascii="Book Antiqua" w:hAnsi="Book Antiqua"/>
          <w:sz w:val="22"/>
          <w:szCs w:val="22"/>
        </w:rPr>
        <w:t>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 será(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recebido(s) provisoriamente, para efeito de posterior verificação de sua conformidade com as especificações constantes neste Documento de Referência. </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 verificação da conformidade das especificações </w:t>
      </w:r>
      <w:proofErr w:type="gramStart"/>
      <w:r w:rsidRPr="0072615A">
        <w:rPr>
          <w:rFonts w:ascii="Book Antiqua" w:hAnsi="Book Antiqua"/>
          <w:sz w:val="22"/>
          <w:szCs w:val="22"/>
        </w:rPr>
        <w:t>do(</w:t>
      </w:r>
      <w:proofErr w:type="gramEnd"/>
      <w:r w:rsidRPr="0072615A">
        <w:rPr>
          <w:rFonts w:ascii="Book Antiqua" w:hAnsi="Book Antiqua"/>
          <w:sz w:val="22"/>
          <w:szCs w:val="22"/>
        </w:rPr>
        <w:t xml:space="preserve">s) material(is) ocorrerá no ato da entrega. Admitida à conformidade quantitativa e qualitativa, </w:t>
      </w:r>
      <w:proofErr w:type="gramStart"/>
      <w:r w:rsidRPr="0072615A">
        <w:rPr>
          <w:rFonts w:ascii="Book Antiqua" w:hAnsi="Book Antiqua"/>
          <w:sz w:val="22"/>
          <w:szCs w:val="22"/>
        </w:rPr>
        <w:t>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 será(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recebido(s) definitivamente, mediante “atesto” na Nota Fiscal, com a consequente aceitação do(s) objeto(s). </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Na hipótese de constatação de anomalias que comprometam a utilização adequada </w:t>
      </w:r>
      <w:proofErr w:type="gramStart"/>
      <w:r w:rsidRPr="0072615A">
        <w:rPr>
          <w:rFonts w:ascii="Book Antiqua" w:hAnsi="Book Antiqua"/>
          <w:sz w:val="22"/>
          <w:szCs w:val="22"/>
        </w:rPr>
        <w:t>do(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)/serviço(s), este(s) será(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rejeitado(s), em todo ou em parte, conforme dispõe a </w:t>
      </w:r>
      <w:r w:rsidRPr="0072615A">
        <w:rPr>
          <w:rFonts w:ascii="Book Antiqua" w:hAnsi="Book Antiqua"/>
          <w:sz w:val="22"/>
          <w:szCs w:val="22"/>
        </w:rPr>
        <w:lastRenderedPageBreak/>
        <w:t xml:space="preserve">Lei nº 14.133/21, sem qualquer ônus para a Prefeitura Municipal de Rolândia, devendo o fornecedor reapresentá-lo(s) no prazo de até 02 (dois) dias corridos, a partir da data de solicitação da substituição. </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Caberá ao fornecedor arcar com os custos diretos e indiretos, inclusive despesas com embalagem, taxas de frete e seguro da entrega </w:t>
      </w:r>
      <w:proofErr w:type="gramStart"/>
      <w:r w:rsidRPr="0072615A">
        <w:rPr>
          <w:rFonts w:ascii="Book Antiqua" w:hAnsi="Book Antiqua"/>
          <w:sz w:val="22"/>
          <w:szCs w:val="22"/>
        </w:rPr>
        <w:t>do(</w:t>
      </w:r>
      <w:proofErr w:type="gramEnd"/>
      <w:r w:rsidRPr="0072615A">
        <w:rPr>
          <w:rFonts w:ascii="Book Antiqua" w:hAnsi="Book Antiqua"/>
          <w:sz w:val="22"/>
          <w:szCs w:val="22"/>
        </w:rPr>
        <w:t xml:space="preserve">s) material(is) a ser(em) substituído(s). </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72615A">
        <w:rPr>
          <w:rFonts w:ascii="Book Antiqua" w:hAnsi="Book Antiqua"/>
          <w:sz w:val="22"/>
          <w:szCs w:val="22"/>
        </w:rPr>
        <w:t>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 deverá(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ser entregue(s) acondicionado(s) em embalagem própria para cada material. </w:t>
      </w:r>
    </w:p>
    <w:p w:rsidR="00D224A4" w:rsidRPr="0072615A" w:rsidRDefault="00D224A4" w:rsidP="00D224A4">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 Prefeitura Municipal de Rolândia reserva-se o direito de impugnar o </w:t>
      </w:r>
      <w:proofErr w:type="gramStart"/>
      <w:r w:rsidRPr="0072615A">
        <w:rPr>
          <w:rFonts w:ascii="Book Antiqua" w:hAnsi="Book Antiqua"/>
          <w:sz w:val="22"/>
          <w:szCs w:val="22"/>
        </w:rPr>
        <w:t>material(</w:t>
      </w:r>
      <w:proofErr w:type="gramEnd"/>
      <w:r w:rsidRPr="0072615A">
        <w:rPr>
          <w:rFonts w:ascii="Book Antiqua" w:hAnsi="Book Antiqua"/>
          <w:sz w:val="22"/>
          <w:szCs w:val="22"/>
        </w:rPr>
        <w:t>is) entregue(s), se esse(s) não estiver(em) de acordo com as especificações técnicas deste Documento de Referência.</w:t>
      </w:r>
    </w:p>
    <w:p w:rsidR="00D224A4" w:rsidRDefault="00D224A4"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w:t>
      </w:r>
      <w:r w:rsidRPr="00D46EA7">
        <w:rPr>
          <w:rFonts w:ascii="Book Antiqua" w:hAnsi="Book Antiqua" w:cs="Arial"/>
          <w:sz w:val="22"/>
          <w:szCs w:val="22"/>
        </w:rPr>
        <w:lastRenderedPageBreak/>
        <w:t>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Pr="00D224A4" w:rsidRDefault="003737DD" w:rsidP="003737DD">
      <w:pPr>
        <w:spacing w:after="0" w:line="240" w:lineRule="auto"/>
        <w:jc w:val="both"/>
        <w:rPr>
          <w:rFonts w:ascii="Book Antiqua" w:hAnsi="Book Antiqua" w:cs="Arial"/>
          <w:b/>
          <w:sz w:val="22"/>
          <w:szCs w:val="22"/>
        </w:rPr>
      </w:pPr>
      <w:r w:rsidRPr="00D224A4">
        <w:rPr>
          <w:rFonts w:ascii="Book Antiqua" w:hAnsi="Book Antiqua" w:cs="Arial"/>
          <w:b/>
          <w:sz w:val="22"/>
          <w:szCs w:val="22"/>
        </w:rPr>
        <w:t>CLÁUSULA DEZ – DO PRAZO, DA VIGÊNCIA E DA PRORROGAÇÃO</w:t>
      </w:r>
    </w:p>
    <w:p w:rsidR="003737DD" w:rsidRPr="00D224A4" w:rsidRDefault="003737DD" w:rsidP="003737DD">
      <w:pPr>
        <w:pStyle w:val="Corpodetexto"/>
        <w:spacing w:line="240" w:lineRule="auto"/>
        <w:rPr>
          <w:rFonts w:ascii="Book Antiqua" w:hAnsi="Book Antiqua" w:cs="Arial"/>
          <w:bCs/>
          <w:szCs w:val="22"/>
        </w:rPr>
      </w:pPr>
      <w:r w:rsidRPr="00D224A4">
        <w:rPr>
          <w:rFonts w:ascii="Book Antiqua" w:hAnsi="Book Antiqua" w:cs="Arial"/>
          <w:bCs/>
          <w:szCs w:val="22"/>
        </w:rPr>
        <w:t xml:space="preserve">1. O prazo de entrega dos itens será de até </w:t>
      </w:r>
      <w:r w:rsidR="00D224A4" w:rsidRPr="00D224A4">
        <w:rPr>
          <w:rFonts w:ascii="Book Antiqua" w:hAnsi="Book Antiqua" w:cs="Arial"/>
          <w:bCs/>
          <w:szCs w:val="22"/>
        </w:rPr>
        <w:t>30</w:t>
      </w:r>
      <w:r w:rsidRPr="00D224A4">
        <w:rPr>
          <w:rFonts w:ascii="Book Antiqua" w:hAnsi="Book Antiqua" w:cs="Arial"/>
          <w:bCs/>
          <w:szCs w:val="22"/>
        </w:rPr>
        <w:t xml:space="preserve"> (</w:t>
      </w:r>
      <w:r w:rsidR="00D224A4" w:rsidRPr="00D224A4">
        <w:rPr>
          <w:rFonts w:ascii="Book Antiqua" w:hAnsi="Book Antiqua" w:cs="Arial"/>
          <w:bCs/>
          <w:szCs w:val="22"/>
        </w:rPr>
        <w:t>trinta</w:t>
      </w:r>
      <w:r w:rsidRPr="00D224A4">
        <w:rPr>
          <w:rFonts w:ascii="Book Antiqua" w:hAnsi="Book Antiqua" w:cs="Arial"/>
          <w:bCs/>
          <w:szCs w:val="22"/>
        </w:rPr>
        <w:t>) dias, contados a partir da emissão da autorização de.</w:t>
      </w:r>
    </w:p>
    <w:p w:rsidR="003737DD" w:rsidRDefault="003737DD" w:rsidP="003737DD">
      <w:pPr>
        <w:spacing w:after="0" w:line="240" w:lineRule="auto"/>
        <w:jc w:val="both"/>
        <w:rPr>
          <w:rStyle w:val="Forte"/>
          <w:b w:val="0"/>
          <w:lang w:eastAsia="pt-BR"/>
        </w:rPr>
      </w:pPr>
      <w:r w:rsidRPr="00D224A4">
        <w:rPr>
          <w:rStyle w:val="Forte"/>
          <w:rFonts w:ascii="Book Antiqua" w:hAnsi="Book Antiqua"/>
          <w:b w:val="0"/>
        </w:rPr>
        <w:t xml:space="preserve">2. O </w:t>
      </w:r>
      <w:r w:rsidR="00710714" w:rsidRPr="00D224A4">
        <w:rPr>
          <w:rStyle w:val="Forte"/>
          <w:rFonts w:ascii="Book Antiqua" w:hAnsi="Book Antiqua"/>
          <w:b w:val="0"/>
          <w:lang w:eastAsia="pt-BR"/>
        </w:rPr>
        <w:t>Instrumento</w:t>
      </w:r>
      <w:r w:rsidR="00710714">
        <w:rPr>
          <w:rStyle w:val="Forte"/>
          <w:rFonts w:ascii="Book Antiqua" w:hAnsi="Book Antiqua"/>
          <w:b w:val="0"/>
          <w:lang w:eastAsia="pt-BR"/>
        </w:rPr>
        <w:t xml:space="preserve"> hábil de formalização da contratação</w:t>
      </w:r>
      <w:r w:rsidR="00710714">
        <w:rPr>
          <w:rStyle w:val="Forte"/>
          <w:rFonts w:ascii="Book Antiqua" w:hAnsi="Book Antiqua"/>
          <w:lang w:eastAsia="pt-BR"/>
        </w:rPr>
        <w:t xml:space="preserve"> </w:t>
      </w:r>
      <w:r>
        <w:rPr>
          <w:rStyle w:val="Forte"/>
          <w:rFonts w:ascii="Book Antiqua" w:hAnsi="Book Antiqua"/>
          <w:b w:val="0"/>
        </w:rPr>
        <w:t>terá vigência de 12 (doze) meses, contados da data de sua assinatura,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737DD" w:rsidRDefault="003737DD" w:rsidP="003737DD">
      <w:pPr>
        <w:pStyle w:val="Corpodetexto"/>
        <w:spacing w:line="240" w:lineRule="auto"/>
        <w:rPr>
          <w:rFonts w:cs="Arial"/>
          <w:szCs w:val="22"/>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Pr="006C2036" w:rsidRDefault="00A7189E" w:rsidP="00A7189E">
      <w:pPr>
        <w:spacing w:after="0" w:line="240" w:lineRule="auto"/>
        <w:jc w:val="both"/>
        <w:rPr>
          <w:rFonts w:ascii="Book Antiqua" w:hAnsi="Book Antiqua"/>
          <w:color w:val="FF0000"/>
          <w:sz w:val="22"/>
          <w:szCs w:val="22"/>
        </w:rPr>
      </w:pPr>
    </w:p>
    <w:p w:rsidR="00A7189E" w:rsidRPr="006C2036" w:rsidRDefault="00C63C6D" w:rsidP="00A7189E">
      <w:pPr>
        <w:spacing w:after="0" w:line="240" w:lineRule="auto"/>
        <w:jc w:val="both"/>
        <w:rPr>
          <w:rFonts w:ascii="Book Antiqua" w:hAnsi="Book Antiqua"/>
          <w:sz w:val="22"/>
          <w:szCs w:val="22"/>
        </w:rPr>
      </w:pPr>
      <w:r w:rsidRPr="006C2036">
        <w:rPr>
          <w:rFonts w:ascii="Book Antiqua" w:hAnsi="Book Antiqua"/>
          <w:b/>
          <w:sz w:val="22"/>
          <w:szCs w:val="22"/>
        </w:rPr>
        <w:t>Órgão:</w:t>
      </w:r>
      <w:r w:rsidRPr="006C2036">
        <w:rPr>
          <w:rFonts w:ascii="Book Antiqua" w:hAnsi="Book Antiqua"/>
          <w:sz w:val="22"/>
          <w:szCs w:val="22"/>
        </w:rPr>
        <w:t xml:space="preserve"> 02 – Chefia de Gabinete</w:t>
      </w:r>
    </w:p>
    <w:p w:rsidR="006C2036" w:rsidRPr="006C2036" w:rsidRDefault="006C2036" w:rsidP="00A7189E">
      <w:pPr>
        <w:spacing w:after="0" w:line="240" w:lineRule="auto"/>
        <w:jc w:val="both"/>
        <w:rPr>
          <w:rFonts w:ascii="Book Antiqua" w:hAnsi="Book Antiqua"/>
          <w:sz w:val="22"/>
          <w:szCs w:val="22"/>
        </w:rPr>
      </w:pPr>
    </w:p>
    <w:p w:rsidR="00C63C6D" w:rsidRPr="006C2036" w:rsidRDefault="00C63C6D" w:rsidP="00A7189E">
      <w:pPr>
        <w:spacing w:after="0" w:line="240" w:lineRule="auto"/>
        <w:jc w:val="both"/>
        <w:rPr>
          <w:rFonts w:ascii="Book Antiqua" w:hAnsi="Book Antiqua"/>
          <w:b/>
          <w:sz w:val="22"/>
          <w:szCs w:val="22"/>
        </w:rPr>
      </w:pPr>
      <w:r w:rsidRPr="006C2036">
        <w:rPr>
          <w:rFonts w:ascii="Book Antiqua" w:hAnsi="Book Antiqua"/>
          <w:b/>
          <w:sz w:val="22"/>
          <w:szCs w:val="22"/>
        </w:rPr>
        <w:t xml:space="preserve">Classificação Orçamentária: </w:t>
      </w:r>
    </w:p>
    <w:p w:rsidR="00C63C6D" w:rsidRPr="006C2036" w:rsidRDefault="00C63C6D" w:rsidP="00A7189E">
      <w:pPr>
        <w:spacing w:after="0" w:line="240" w:lineRule="auto"/>
        <w:jc w:val="both"/>
        <w:rPr>
          <w:rFonts w:ascii="Book Antiqua" w:hAnsi="Book Antiqua"/>
          <w:sz w:val="22"/>
          <w:szCs w:val="22"/>
        </w:rPr>
      </w:pPr>
      <w:r w:rsidRPr="006C2036">
        <w:rPr>
          <w:rFonts w:ascii="Book Antiqua" w:hAnsi="Book Antiqua"/>
          <w:sz w:val="22"/>
          <w:szCs w:val="22"/>
        </w:rPr>
        <w:t>.</w:t>
      </w:r>
    </w:p>
    <w:p w:rsidR="00C63C6D" w:rsidRDefault="00C63C6D" w:rsidP="006C2036">
      <w:pPr>
        <w:spacing w:after="0" w:line="240" w:lineRule="auto"/>
        <w:jc w:val="both"/>
        <w:rPr>
          <w:rFonts w:ascii="Book Antiqua" w:hAnsi="Book Antiqua"/>
          <w:sz w:val="22"/>
          <w:szCs w:val="22"/>
        </w:rPr>
      </w:pPr>
      <w:r w:rsidRPr="006C2036">
        <w:rPr>
          <w:rFonts w:ascii="Book Antiqua" w:hAnsi="Book Antiqua"/>
          <w:sz w:val="22"/>
          <w:szCs w:val="22"/>
        </w:rPr>
        <w:t xml:space="preserve">Para Serviços: 33.90.39.00.00.00 - </w:t>
      </w:r>
      <w:r w:rsidRPr="006C2036">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4A4" w:rsidRDefault="00D224A4" w:rsidP="005E0B8A">
      <w:pPr>
        <w:spacing w:after="0" w:line="240" w:lineRule="auto"/>
      </w:pPr>
      <w:r>
        <w:separator/>
      </w:r>
    </w:p>
  </w:endnote>
  <w:endnote w:type="continuationSeparator" w:id="0">
    <w:p w:rsidR="00D224A4" w:rsidRDefault="00D224A4"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4A4" w:rsidRDefault="00D224A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D224A4" w:rsidRDefault="00D224A4">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4A4" w:rsidRDefault="00D224A4">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4A4" w:rsidRDefault="00D224A4" w:rsidP="005E0B8A">
      <w:pPr>
        <w:spacing w:after="0" w:line="240" w:lineRule="auto"/>
      </w:pPr>
      <w:r>
        <w:separator/>
      </w:r>
    </w:p>
  </w:footnote>
  <w:footnote w:type="continuationSeparator" w:id="0">
    <w:p w:rsidR="00D224A4" w:rsidRDefault="00D224A4"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4A4" w:rsidRDefault="00D224A4">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4737"/>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2036"/>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03EC"/>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0AC1"/>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224A4"/>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4737"/>
    <o:shapelayout v:ext="edit">
      <o:idmap v:ext="edit" data="1"/>
    </o:shapelayout>
  </w:shapeDefaults>
  <w:decimalSymbol w:val=","/>
  <w:listSeparator w:val=";"/>
  <w14:docId w14:val="2C3B0B2A"/>
  <w15:docId w15:val="{11EA21D2-54BB-4847-8915-722C89441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A0CEA-108A-4D31-B925-850CC297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4356</Words>
  <Characters>23525</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 Paula Moreira da Silva</cp:lastModifiedBy>
  <cp:revision>3</cp:revision>
  <dcterms:created xsi:type="dcterms:W3CDTF">2025-11-25T13:47:00Z</dcterms:created>
  <dcterms:modified xsi:type="dcterms:W3CDTF">2025-11-28T11:50:00Z</dcterms:modified>
</cp:coreProperties>
</file>